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Arial" w:hAnsi="Arial" w:eastAsia="Times New Roman" w:cs="Arial"/>
          <w:b/>
          <w:b/>
          <w:bCs/>
          <w:caps/>
          <w:kern w:val="2"/>
          <w:szCs w:val="20"/>
        </w:rPr>
      </w:pPr>
      <w:r>
        <w:rPr/>
        <w:br/>
      </w:r>
      <w:r>
        <mc:AlternateContent>
          <mc:Choice Requires="wps">
            <w:drawing>
              <wp:anchor behindDoc="0" distT="1905" distB="1905" distL="1905" distR="1905" simplePos="0" locked="0" layoutInCell="0" allowOverlap="1" relativeHeight="2" wp14:anchorId="24A84223">
                <wp:simplePos x="0" y="0"/>
                <wp:positionH relativeFrom="column">
                  <wp:posOffset>7089775</wp:posOffset>
                </wp:positionH>
                <wp:positionV relativeFrom="paragraph">
                  <wp:posOffset>5141595</wp:posOffset>
                </wp:positionV>
                <wp:extent cx="453390" cy="182880"/>
                <wp:effectExtent l="1905" t="1905" r="1905" b="1905"/>
                <wp:wrapNone/>
                <wp:docPr id="1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40" cy="1828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558.25pt;margin-top:404.85pt;width:35.65pt;height:14.35pt;mso-wrap-style:none;v-text-anchor:middle" wp14:anchorId="24A84223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" distB="1905" distL="2540" distR="1270" simplePos="0" locked="0" layoutInCell="0" allowOverlap="1" relativeHeight="3" wp14:anchorId="5E150F06">
                <wp:simplePos x="0" y="0"/>
                <wp:positionH relativeFrom="column">
                  <wp:posOffset>7090410</wp:posOffset>
                </wp:positionH>
                <wp:positionV relativeFrom="paragraph">
                  <wp:posOffset>4538345</wp:posOffset>
                </wp:positionV>
                <wp:extent cx="475615" cy="182880"/>
                <wp:effectExtent l="2540" t="1905" r="1270" b="1905"/>
                <wp:wrapNone/>
                <wp:docPr id="2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560" cy="1828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stroked="t" o:allowincell="f" style="position:absolute;margin-left:558.3pt;margin-top:357.35pt;width:37.4pt;height:14.35pt;mso-wrap-style:none;v-text-anchor:middle" wp14:anchorId="5E150F06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b/>
          <w:bCs/>
          <w:caps/>
          <w:kern w:val="2"/>
          <w:szCs w:val="20"/>
        </w:rPr>
        <w:t>Заявление о присоединении</w:t>
      </w:r>
    </w:p>
    <w:tbl>
      <w:tblPr>
        <w:tblStyle w:val="a8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5"/>
        <w:gridCol w:w="1951"/>
        <w:gridCol w:w="843"/>
        <w:gridCol w:w="1564"/>
        <w:gridCol w:w="629"/>
        <w:gridCol w:w="637"/>
        <w:gridCol w:w="1530"/>
        <w:gridCol w:w="2246"/>
      </w:tblGrid>
      <w:tr>
        <w:trPr/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Наименование Web-сайта Предприятия (посредством которого осуществляется продажа Товаров)/ Адрес фактического местонахождения Торговой точки Предприятия</w:t>
            </w:r>
          </w:p>
        </w:tc>
        <w:tc>
          <w:tcPr>
            <w:tcW w:w="7449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Вид деятельности Предприятия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(категория Товаров или род услуг)</w:t>
            </w:r>
          </w:p>
        </w:tc>
        <w:tc>
          <w:tcPr>
            <w:tcW w:w="7449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609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en-US" w:bidi="ar-SA"/>
              </w:rPr>
              <w:t>Платежные карты, принимаемые к оплате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Предоплаченные карты Банка  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en-US" w:eastAsia="en-US" w:bidi="ar-SA"/>
              </w:rPr>
              <w:t>X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="0" w:after="4"/>
              <w:ind w:left="1308" w:right="3442" w:firstLine="323"/>
              <w:contextualSpacing w:val="false"/>
              <w:jc w:val="left"/>
              <w:rPr>
                <w:rFonts w:ascii="Arial" w:hAnsi="Arial" w:eastAsia="Wingdings" w:cs="Arial"/>
                <w:sz w:val="16"/>
                <w:szCs w:val="16"/>
                <w:lang w:val="en-US"/>
              </w:rPr>
            </w:pPr>
            <w:r>
              <w:rPr>
                <w:rFonts w:eastAsia="Wingdings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Карты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Wingdings" w:cs="Arial"/>
                <w:sz w:val="16"/>
                <w:szCs w:val="16"/>
                <w:lang w:val="en-US"/>
              </w:rPr>
            </w:pPr>
            <w:r>
              <w:rPr>
                <w:rFonts w:eastAsia="Wingdings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24" w:right="0" w:hanging="0"/>
              <w:contextualSpacing w:val="false"/>
              <w:jc w:val="left"/>
              <w:rPr>
                <w:rFonts w:ascii="Arial" w:hAnsi="Arial" w:eastAsia="Wingdings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US" w:bidi="ar-SA"/>
              </w:rPr>
              <w:t>X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bidi="ar-SA"/>
              </w:rPr>
              <w:t xml:space="preserve">  Visa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24" w:right="0" w:hanging="0"/>
              <w:contextualSpacing w:val="false"/>
              <w:jc w:val="left"/>
              <w:rPr>
                <w:rFonts w:ascii="Arial" w:hAnsi="Arial" w:eastAsia="Wingdings" w:cs="Arial"/>
                <w:sz w:val="16"/>
                <w:szCs w:val="16"/>
                <w:lang w:val="en-US"/>
              </w:rPr>
            </w:pPr>
            <w:r>
              <w:rPr>
                <w:rFonts w:eastAsia="Wingdings" w:cs="Arial" w:ascii="Arial" w:hAnsi="Arial"/>
                <w:kern w:val="0"/>
                <w:sz w:val="22"/>
                <w:szCs w:val="22"/>
                <w:lang w:val="en-US" w:bidi="ar-SA"/>
              </w:rPr>
              <w:t>X</w:t>
            </w:r>
            <w:r>
              <w:rPr>
                <w:rFonts w:eastAsia="Wingdings" w:cs="Arial" w:ascii="Arial" w:hAnsi="Arial"/>
                <w:kern w:val="0"/>
                <w:sz w:val="16"/>
                <w:szCs w:val="16"/>
                <w:lang w:val="en-US" w:bidi="ar-SA"/>
              </w:rPr>
              <w:t xml:space="preserve">  Mastercard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24" w:right="0" w:hanging="0"/>
              <w:contextualSpacing w:val="false"/>
              <w:jc w:val="left"/>
              <w:rPr>
                <w:rFonts w:ascii="Arial" w:hAnsi="Arial" w:eastAsia="Wingdings" w:cs="Arial"/>
                <w:sz w:val="16"/>
                <w:szCs w:val="16"/>
                <w:lang w:val="en-US"/>
              </w:rPr>
            </w:pPr>
            <w:r>
              <w:rPr>
                <w:rFonts w:eastAsia="Wingdings" w:cs="Arial" w:ascii="Arial" w:hAnsi="Arial"/>
                <w:kern w:val="0"/>
                <w:sz w:val="22"/>
                <w:szCs w:val="22"/>
                <w:lang w:val="ru-RU" w:bidi="ar-SA"/>
              </w:rPr>
              <w:t>X</w:t>
            </w:r>
            <w:r>
              <w:rPr>
                <w:rFonts w:eastAsia="Wingdings" w:cs="Arial" w:ascii="Arial" w:hAnsi="Arial"/>
                <w:kern w:val="0"/>
                <w:sz w:val="16"/>
                <w:szCs w:val="16"/>
                <w:lang w:val="ru-RU" w:bidi="ar-SA"/>
              </w:rPr>
              <w:t xml:space="preserve">  Мир</w:t>
            </w:r>
            <w:r>
              <w:rPr>
                <w:rFonts w:cs="Arial" w:ascii="Arial" w:hAnsi="Arial"/>
                <w:kern w:val="0"/>
                <w:sz w:val="16"/>
                <w:szCs w:val="16"/>
                <w:lang w:val="ru-RU" w:bidi="ar-SA"/>
              </w:rPr>
              <w:t xml:space="preserve"> 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="0" w:after="4"/>
              <w:ind w:left="1308" w:right="3442" w:firstLine="323"/>
              <w:contextualSpacing w:val="false"/>
              <w:jc w:val="left"/>
              <w:rPr>
                <w:rFonts w:ascii="Arial" w:hAnsi="Arial" w:eastAsia="Wingdings" w:cs="Arial"/>
                <w:sz w:val="16"/>
                <w:szCs w:val="16"/>
                <w:lang w:val="en-US"/>
              </w:rPr>
            </w:pPr>
            <w:r>
              <w:rPr>
                <w:rFonts w:eastAsia="Wingdings" w:cs="Arial" w:ascii="Arial" w:hAnsi="Arial"/>
                <w:sz w:val="16"/>
                <w:szCs w:val="16"/>
                <w:lang w:val="en-US"/>
              </w:rPr>
            </w:r>
          </w:p>
        </w:tc>
      </w:tr>
      <w:tr>
        <w:trPr>
          <w:trHeight w:val="609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en-US" w:bidi="ar-SA"/>
              </w:rPr>
              <w:t>Операции через СБП</w:t>
            </w:r>
          </w:p>
        </w:tc>
        <w:tc>
          <w:tcPr>
            <w:tcW w:w="7449" w:type="dxa"/>
            <w:gridSpan w:val="6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20" w:after="0"/>
              <w:jc w:val="left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en-US" w:eastAsia="en-US" w:bidi="ar-SA"/>
              </w:rPr>
              <w:t>X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Лимиты</w:t>
            </w:r>
          </w:p>
        </w:tc>
        <w:tc>
          <w:tcPr>
            <w:tcW w:w="7449" w:type="dxa"/>
            <w:gridSpan w:val="6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>
          <w:trHeight w:val="516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Протокол технического взаимодействия </w:t>
            </w:r>
          </w:p>
        </w:tc>
        <w:tc>
          <w:tcPr>
            <w:tcW w:w="7449" w:type="dxa"/>
            <w:gridSpan w:val="6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>PAYIN</w:t>
            </w:r>
          </w:p>
        </w:tc>
      </w:tr>
      <w:tr>
        <w:trPr/>
        <w:tc>
          <w:tcPr>
            <w:tcW w:w="10465" w:type="dxa"/>
            <w:gridSpan w:val="8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Ставка вознаграждения Банка</w:t>
            </w:r>
          </w:p>
        </w:tc>
      </w:tr>
      <w:tr>
        <w:trPr>
          <w:trHeight w:val="930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Карты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249" w:hanging="284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en-US" w:bidi="ar-SA"/>
              </w:rPr>
              <w:t>В соответствии с Дополнением № 4 к Правилам интернет-эквайринга Карт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142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26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Применение специального тарифа, размер ставки вознаграждения Банка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>2.35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%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26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28" w:hanging="0"/>
              <w:jc w:val="both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4"/>
                <w:szCs w:val="16"/>
                <w:lang w:val="ru-RU" w:eastAsia="en-US" w:bidi="ar-SA"/>
              </w:rPr>
              <w:t>(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ru-RU" w:eastAsia="en-US" w:bidi="ar-SA"/>
              </w:rPr>
              <w:t>В случае применения специальной ставки вознаграждения Банка в настоящей графе указывается её размер)</w:t>
            </w:r>
          </w:p>
        </w:tc>
      </w:tr>
      <w:tr>
        <w:trPr/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Предоплаченные карты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250" w:hanging="284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В соответствии с Дополнением № 1 к Правилам интернет-эквайринга Предоплаченных карт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142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26" w:right="0" w:hanging="0"/>
              <w:contextualSpacing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ru-RU" w:bidi="ar-SA"/>
              </w:rPr>
              <w:t>X</w:t>
            </w:r>
            <w:r>
              <w:rPr>
                <w:rFonts w:cs="Arial" w:ascii="Arial" w:hAnsi="Arial"/>
                <w:kern w:val="0"/>
                <w:sz w:val="16"/>
                <w:szCs w:val="16"/>
                <w:lang w:val="ru-RU" w:bidi="ar-SA"/>
              </w:rPr>
              <w:t xml:space="preserve">  Применение специального тарифа, размер ставки вознаграждения Банка 3%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cs="Arial" w:ascii="Arial" w:hAnsi="Arial"/>
                <w:i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ru-RU" w:eastAsia="en-US" w:bidi="ar-SA"/>
              </w:rPr>
              <w:t>(В случае применения специальной ставки вознаграждения Банка в настоящей графе указывается её размер)</w:t>
            </w:r>
          </w:p>
        </w:tc>
      </w:tr>
      <w:tr>
        <w:trPr>
          <w:trHeight w:val="1113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Предоплаченные карты в рамках сервиса Мобильной коммерции 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□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ru-RU" w:eastAsia="en-US" w:bidi="ar-SA"/>
              </w:rPr>
              <w:t>(В случае, если сервис Мобильной коммерции не приобретен)</w:t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 Да,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   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ставка вознаграждения Банка _______%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cs="Arial" w:ascii="Arial" w:hAnsi="Arial"/>
                <w:i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ru-RU" w:eastAsia="en-US" w:bidi="ar-SA"/>
              </w:rPr>
              <w:t>(В случае, если сервис Мобильной коммерции приобретен и применяется специальная ставка вознаграждения Банка, в настоящей графе указывается её размер)</w:t>
            </w:r>
          </w:p>
        </w:tc>
      </w:tr>
      <w:tr>
        <w:trPr>
          <w:trHeight w:val="1113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Операции через СБП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За осуществление расчетов по Операциям через СБП: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В соответствии с Дополнением № 1 к Правилам оказания услуг в связи с Операциями через СБП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□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_______ %, но не более _____ руб. за Операцию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(</w:t>
            </w: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ru-RU" w:eastAsia="en-US" w:bidi="ar-SA"/>
              </w:rPr>
              <w:t>В случае применения специальной ставки вознаграждения Банка указывается её размер)</w:t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За обеспечение информационно-технологического взаимодействия между участниками расчетов: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□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В соответствии с Дополнением № 1 к Правилам оказания услуг в связи с Операциями через СБП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□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_______ 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4"/>
                <w:szCs w:val="14"/>
                <w:lang w:val="ru-RU" w:eastAsia="en-US" w:bidi="ar-SA"/>
              </w:rPr>
              <w:t>(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ru-RU" w:eastAsia="en-US" w:bidi="ar-SA"/>
              </w:rPr>
              <w:t>В случае применения специальной ставки вознаграждения Банка указывается её размер)</w:t>
            </w:r>
          </w:p>
        </w:tc>
      </w:tr>
      <w:tr>
        <w:trPr>
          <w:trHeight w:val="352" w:hRule="atLeast"/>
        </w:trPr>
        <w:tc>
          <w:tcPr>
            <w:tcW w:w="10465" w:type="dxa"/>
            <w:gridSpan w:val="8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Ставка дополнительного вознаграждения Платежного агрегатора от Контрагента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ru-RU" w:eastAsia="en-US" w:bidi="ar-SA"/>
              </w:rPr>
              <w:t xml:space="preserve">(Конкретный размер ставки дополнительного вознаграждения Платежного агрегатора, порядок его выплаты определяется по соглашению между Платежным агрегатором и Контрагентом) </w:t>
            </w:r>
          </w:p>
        </w:tc>
      </w:tr>
      <w:tr>
        <w:trPr>
          <w:trHeight w:val="1113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Карты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Да, ставка дополнительного вознаграждения Платежного агрегатора не более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>1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% от суммы Операции оплаты и 30 руб от каждого перечисления</w:t>
            </w:r>
          </w:p>
        </w:tc>
      </w:tr>
      <w:tr>
        <w:trPr>
          <w:trHeight w:val="1113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Предоплаченные карты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Да, ставка дополнительного вознаграждения Платежного агрегатора не более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>1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% от суммы Операции оплаты  и 30 руб от каждого перечисления</w:t>
            </w:r>
          </w:p>
        </w:tc>
      </w:tr>
      <w:tr>
        <w:trPr>
          <w:trHeight w:val="1113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Предоплаченные карты в рамках сервиса Мобильной коммерции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Да, ставка дополнительного вознаграждения Платежного агрегатора не более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>1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% от суммы Операции оплаты и 30 руб от каждого перечисления</w:t>
            </w:r>
          </w:p>
        </w:tc>
      </w:tr>
      <w:tr>
        <w:trPr>
          <w:trHeight w:val="1113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Операции через СБП</w:t>
            </w:r>
          </w:p>
        </w:tc>
        <w:tc>
          <w:tcPr>
            <w:tcW w:w="3036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41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Нет</w:t>
            </w:r>
          </w:p>
        </w:tc>
        <w:tc>
          <w:tcPr>
            <w:tcW w:w="4413" w:type="dxa"/>
            <w:gridSpan w:val="3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64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Да, ставка дополнительного вознаграждения Платежного агрегатора не более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n-US" w:eastAsia="en-US" w:bidi="ar-SA"/>
              </w:rPr>
              <w:t>1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% от суммы Операции оплаты и 30 руб от каждого перечисления</w:t>
            </w:r>
          </w:p>
        </w:tc>
      </w:tr>
      <w:tr>
        <w:trPr>
          <w:trHeight w:val="419" w:hRule="atLeast"/>
        </w:trPr>
        <w:tc>
          <w:tcPr>
            <w:tcW w:w="3016" w:type="dxa"/>
            <w:gridSpan w:val="2"/>
            <w:tcBorders/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Использование Платформы Apple Pay</w:t>
            </w:r>
          </w:p>
        </w:tc>
        <w:tc>
          <w:tcPr>
            <w:tcW w:w="7449" w:type="dxa"/>
            <w:gridSpan w:val="6"/>
            <w:tcBorders/>
            <w:shd w:fill="FFFFCC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X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 Да</w:t>
            </w:r>
            <w:r>
              <w:rPr>
                <w:rStyle w:val="Style18"/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footnoteReference w:id="2"/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0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Нет </w:t>
            </w:r>
          </w:p>
        </w:tc>
      </w:tr>
      <w:tr>
        <w:trPr/>
        <w:tc>
          <w:tcPr>
            <w:tcW w:w="10465" w:type="dxa"/>
            <w:gridSpan w:val="8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Реквизиты Платежного агрегатора для зачисления Банком Возмещения по Операциям и дальнейшего перевода денежных средств Платежным агрегатором Контрагенту:</w:t>
            </w: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1065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Банк:</w:t>
            </w:r>
          </w:p>
        </w:tc>
        <w:tc>
          <w:tcPr>
            <w:tcW w:w="4358" w:type="dxa"/>
            <w:gridSpan w:val="3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КИВИ Банк (АО)</w:t>
            </w:r>
          </w:p>
        </w:tc>
        <w:tc>
          <w:tcPr>
            <w:tcW w:w="1266" w:type="dxa"/>
            <w:gridSpan w:val="2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Специальный банковский счет:</w:t>
            </w:r>
          </w:p>
        </w:tc>
        <w:tc>
          <w:tcPr>
            <w:tcW w:w="3776" w:type="dxa"/>
            <w:gridSpan w:val="2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lang w:val="en-US" w:eastAsia="en-US" w:bidi="ar-SA"/>
              </w:rPr>
              <w:t>40821810900001005701</w:t>
            </w:r>
          </w:p>
        </w:tc>
      </w:tr>
      <w:tr>
        <w:trPr/>
        <w:tc>
          <w:tcPr>
            <w:tcW w:w="1065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БИК Банка:</w:t>
            </w:r>
          </w:p>
        </w:tc>
        <w:tc>
          <w:tcPr>
            <w:tcW w:w="4358" w:type="dxa"/>
            <w:gridSpan w:val="3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044525416</w:t>
            </w:r>
          </w:p>
        </w:tc>
        <w:tc>
          <w:tcPr>
            <w:tcW w:w="1266" w:type="dxa"/>
            <w:gridSpan w:val="2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к/с Банка:</w:t>
            </w:r>
          </w:p>
        </w:tc>
        <w:tc>
          <w:tcPr>
            <w:tcW w:w="3776" w:type="dxa"/>
            <w:gridSpan w:val="2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30101810645250000416</w:t>
            </w:r>
          </w:p>
        </w:tc>
      </w:tr>
      <w:tr>
        <w:trPr/>
        <w:tc>
          <w:tcPr>
            <w:tcW w:w="10465" w:type="dxa"/>
            <w:gridSpan w:val="8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Сроки осуществления Платежным агрегатором перевода по Операциям в пользу Контрагента: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0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определяется в соответствии с отдельным соглашением Платежного агрегатора и Контрагента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30" w:leader="none"/>
              </w:tabs>
              <w:suppressAutoHyphens w:val="true"/>
              <w:spacing w:lineRule="auto" w:line="276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в течение _______________</w:t>
            </w:r>
          </w:p>
        </w:tc>
      </w:tr>
      <w:tr>
        <w:trPr/>
        <w:tc>
          <w:tcPr>
            <w:tcW w:w="10465" w:type="dxa"/>
            <w:gridSpan w:val="8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 xml:space="preserve">Реквизиты Контрагента </w:t>
            </w:r>
          </w:p>
        </w:tc>
      </w:tr>
      <w:tr>
        <w:trPr/>
        <w:tc>
          <w:tcPr>
            <w:tcW w:w="1065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Банк:</w:t>
            </w:r>
          </w:p>
        </w:tc>
        <w:tc>
          <w:tcPr>
            <w:tcW w:w="4358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66" w:type="dxa"/>
            <w:gridSpan w:val="2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р/с</w:t>
            </w:r>
          </w:p>
        </w:tc>
        <w:tc>
          <w:tcPr>
            <w:tcW w:w="377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065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БИК Банка:</w:t>
            </w:r>
          </w:p>
        </w:tc>
        <w:tc>
          <w:tcPr>
            <w:tcW w:w="4358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266" w:type="dxa"/>
            <w:gridSpan w:val="2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к/с Банка</w:t>
            </w:r>
          </w:p>
        </w:tc>
        <w:tc>
          <w:tcPr>
            <w:tcW w:w="377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0465" w:type="dxa"/>
            <w:gridSpan w:val="8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Данные о Контрагенте:</w:t>
            </w: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>
        <w:trPr>
          <w:trHeight w:val="191" w:hRule="atLeast"/>
        </w:trPr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Полное наименование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(в соответствии с ЕГРЮЛ):  </w:t>
            </w:r>
          </w:p>
        </w:tc>
        <w:tc>
          <w:tcPr>
            <w:tcW w:w="6606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Юридический адрес:</w:t>
            </w:r>
          </w:p>
        </w:tc>
        <w:tc>
          <w:tcPr>
            <w:tcW w:w="283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эл. адрес/домен:  </w:t>
            </w:r>
          </w:p>
        </w:tc>
        <w:tc>
          <w:tcPr>
            <w:tcW w:w="224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Местонахождение (фактический):</w:t>
            </w:r>
          </w:p>
        </w:tc>
        <w:tc>
          <w:tcPr>
            <w:tcW w:w="283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ИНН / КПП:  </w:t>
            </w:r>
          </w:p>
        </w:tc>
        <w:tc>
          <w:tcPr>
            <w:tcW w:w="224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Почтовый адрес:  </w:t>
            </w:r>
          </w:p>
        </w:tc>
        <w:tc>
          <w:tcPr>
            <w:tcW w:w="283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ОКПО:</w:t>
            </w:r>
          </w:p>
        </w:tc>
        <w:tc>
          <w:tcPr>
            <w:tcW w:w="224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Тел.:</w:t>
            </w:r>
          </w:p>
        </w:tc>
        <w:tc>
          <w:tcPr>
            <w:tcW w:w="283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ОГРН:  </w:t>
            </w:r>
          </w:p>
        </w:tc>
        <w:tc>
          <w:tcPr>
            <w:tcW w:w="224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0465" w:type="dxa"/>
            <w:gridSpan w:val="8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Данные о Платежном агрегаторе: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Полное наименование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(в соответствии с ЕГРЮЛ):  </w:t>
            </w:r>
          </w:p>
        </w:tc>
        <w:tc>
          <w:tcPr>
            <w:tcW w:w="6606" w:type="dxa"/>
            <w:gridSpan w:val="5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ru-RU" w:eastAsia="en-US" w:bidi="ar-SA"/>
              </w:rPr>
              <w:t>ООО «МАГНУМ»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Юридический адрес:</w:t>
            </w:r>
          </w:p>
        </w:tc>
        <w:tc>
          <w:tcPr>
            <w:tcW w:w="2830" w:type="dxa"/>
            <w:gridSpan w:val="3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b w:val="false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  <w:t>Москва, Дмитровское шоссе, д. 81, 6 этаж, комната 708</w:t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эл. адрес/домен:  </w:t>
            </w:r>
          </w:p>
        </w:tc>
        <w:tc>
          <w:tcPr>
            <w:tcW w:w="2246" w:type="dxa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ru-RU" w:eastAsia="en-US" w:bidi="ar-SA"/>
              </w:rPr>
              <w:t>INFO@ONPAY.RU</w:t>
              <w:br/>
              <w:t xml:space="preserve">onpay.ru 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Местонахождение:  </w:t>
            </w:r>
          </w:p>
        </w:tc>
        <w:tc>
          <w:tcPr>
            <w:tcW w:w="2830" w:type="dxa"/>
            <w:gridSpan w:val="3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b w:val="false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  <w:t>Москва, Дмитровское шоссе, д. 81, 6 этаж, комната 708</w:t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ИНН / КПП:  </w:t>
            </w:r>
          </w:p>
        </w:tc>
        <w:tc>
          <w:tcPr>
            <w:tcW w:w="2246" w:type="dxa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ru-RU" w:eastAsia="en-US" w:bidi="ar-SA"/>
              </w:rPr>
              <w:t>7720551124/</w:t>
              <w:br/>
              <w:t>774301001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Почтовый адрес:  </w:t>
            </w:r>
          </w:p>
        </w:tc>
        <w:tc>
          <w:tcPr>
            <w:tcW w:w="2830" w:type="dxa"/>
            <w:gridSpan w:val="3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b w:val="false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  <w:t>109052, Москва, ул. Нижегородская, д. 86, кор. «А», к. 38.</w:t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ОКПО:  </w:t>
            </w:r>
          </w:p>
        </w:tc>
        <w:tc>
          <w:tcPr>
            <w:tcW w:w="2246" w:type="dxa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ru-RU" w:eastAsia="en-US" w:bidi="ar-SA"/>
              </w:rPr>
              <w:t>95222878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Тел:  </w:t>
            </w:r>
          </w:p>
        </w:tc>
        <w:tc>
          <w:tcPr>
            <w:tcW w:w="2830" w:type="dxa"/>
            <w:gridSpan w:val="3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b w:val="false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  <w:t>+7 495 2278412</w:t>
            </w:r>
          </w:p>
        </w:tc>
        <w:tc>
          <w:tcPr>
            <w:tcW w:w="1530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ОГРН:  </w:t>
            </w:r>
          </w:p>
        </w:tc>
        <w:tc>
          <w:tcPr>
            <w:tcW w:w="2246" w:type="dxa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ru-RU" w:eastAsia="en-US" w:bidi="ar-SA"/>
              </w:rPr>
              <w:t>1067746537913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Основания полномочий Платежного агрегатора на прием Заявления о присоединении от Контрагента:</w:t>
            </w:r>
          </w:p>
        </w:tc>
        <w:tc>
          <w:tcPr>
            <w:tcW w:w="6606" w:type="dxa"/>
            <w:gridSpan w:val="5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Платежный агрегатор действует на основании заключенного с Банком Договора № ПИ-И-01494/2021 от 30 июля.2021г. о выполнении функций банковского платежного агрегатора.</w:t>
            </w:r>
          </w:p>
        </w:tc>
      </w:tr>
      <w:tr>
        <w:trPr/>
        <w:tc>
          <w:tcPr>
            <w:tcW w:w="3859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Адрес сайта Платежного агрегатора (при наличии)</w:t>
            </w: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ru-RU" w:eastAsia="en-US" w:bidi="ar-SA"/>
              </w:rPr>
              <w:t>: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ru-RU" w:eastAsia="en-US" w:bidi="ar-SA"/>
              </w:rPr>
              <w:t>(указывается один из имеющихся у Платежного агрегатора адресов сайтов в сети Интернет, где размещена информация о наименовании Платежного агрегатора, месте его нахождения, и (или) адресе, и (или) адресе его электронной почты)</w:t>
            </w:r>
          </w:p>
        </w:tc>
        <w:tc>
          <w:tcPr>
            <w:tcW w:w="6606" w:type="dxa"/>
            <w:gridSpan w:val="5"/>
            <w:tcBorders/>
            <w:shd w:fill="FFFFCC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Calibri" w:cs="Arial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https://onpay.ru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Arial" w:hAnsi="Arial" w:cs="Arial"/>
          <w:sz w:val="16"/>
          <w:szCs w:val="16"/>
        </w:rPr>
      </w:pPr>
      <w:bookmarkStart w:id="0" w:name="_Hlk67318813"/>
      <w:r>
        <w:rPr>
          <w:rFonts w:cs="Arial" w:ascii="Arial" w:hAnsi="Arial"/>
          <w:sz w:val="16"/>
          <w:szCs w:val="16"/>
        </w:rPr>
        <w:t xml:space="preserve">Настоящий документ является офертой и содержит предложение Контрагента, адресованное Платежному агрегатору, действующему от имени КИВИ Банк (АО) (117648, г. Москва, мкр. Чертаново Северное, д. 1А, корп. 1; тел.: +7 (495) 231-36-45/46, эл. адрес/домен: @qiwi.com), заключить Договор на условиях, содержащихся в настоящей оферте и определенных в Единых правилах предоставления услуг эквайринга и услуг в связи с Операциями через СБП КИВИ Банк (АО), размещенных по адресу: </w:t>
      </w:r>
      <w:hyperlink r:id="rId2">
        <w:r>
          <w:rPr>
            <w:rFonts w:cs="Arial" w:ascii="Arial" w:hAnsi="Arial"/>
            <w:sz w:val="16"/>
            <w:szCs w:val="16"/>
          </w:rPr>
          <w:t>https://qiwi.com/offers</w:t>
        </w:r>
      </w:hyperlink>
      <w:r>
        <w:rPr>
          <w:rFonts w:cs="Arial" w:ascii="Arial" w:hAnsi="Arial"/>
          <w:sz w:val="16"/>
          <w:szCs w:val="16"/>
        </w:rPr>
        <w:t xml:space="preserve"> (далее - Единые правила), с которыми Контрагент ознакомлен и полностью согласен. Термины, используемые в настоящей оферте и Договоре, определены Едиными правилами, которые являются неотъемлемой частью Договора. Акцепт настоящего Заявления о присоединении (оферты) осуществляется в порядке, установленном Едиными правилами; сообщение об акцепте направляется Контрагенту Банком и/или Платежным агрегатором. </w:t>
      </w:r>
      <w:r>
        <w:rPr>
          <w:rFonts w:cs="Arial" w:ascii="Arial" w:hAnsi="Arial"/>
          <w:b/>
          <w:sz w:val="16"/>
          <w:szCs w:val="16"/>
        </w:rPr>
        <w:t xml:space="preserve">Настоящим Заявлением о присоединении Контрагент уполномочивает Платежного агрегатора заверить подписью Платежного агрегатора предоставленные ему Контрагентом сведения и(или) документы и передать их Банку от имени Контрагента для идентификации Банком Контрагента. Своей подписью в Заявлении о присоединении (оферте) Контрагент подтверждает, что все сведения, указанные в Заявлении, а также переданные Платежным агрегатором от имени Контрагента в Банк анкетные данные Контрагента, состав которых утвержден Банком в форме Анкеты, размещенной по адресу: </w:t>
      </w:r>
      <w:hyperlink r:id="rId3">
        <w:r>
          <w:rPr>
            <w:rFonts w:cs="Arial" w:ascii="Arial" w:hAnsi="Arial"/>
            <w:b/>
            <w:sz w:val="16"/>
            <w:szCs w:val="16"/>
          </w:rPr>
          <w:t>https://qiwi.com/offers</w:t>
        </w:r>
      </w:hyperlink>
      <w:r>
        <w:rPr>
          <w:rFonts w:cs="Arial" w:ascii="Arial" w:hAnsi="Arial"/>
          <w:b/>
          <w:sz w:val="16"/>
          <w:szCs w:val="16"/>
        </w:rPr>
        <w:t>, в том числе переданные в цифровом формате посредством Личного кабинета с использованием Аутентификационных данных или посредством использования телекоммуникационных каналов связи в системе электронного документооборота (далее – «ЭДО») с использованием квалифицированной электронной подписи, а также с использованием любых защищенных каналов коммуникации Платежного агрегатора с Банком</w:t>
      </w:r>
      <w:r>
        <w:rPr>
          <w:rFonts w:cs="Arial" w:ascii="Arial" w:hAnsi="Arial"/>
          <w:sz w:val="16"/>
          <w:szCs w:val="16"/>
        </w:rPr>
        <w:t xml:space="preserve">,  </w:t>
      </w:r>
      <w:r>
        <w:rPr>
          <w:rFonts w:cs="Arial" w:ascii="Arial" w:hAnsi="Arial"/>
          <w:b/>
          <w:sz w:val="16"/>
          <w:szCs w:val="16"/>
        </w:rPr>
        <w:t>достоверны и действительны на дату их предоставления</w:t>
      </w:r>
      <w:r>
        <w:rPr>
          <w:rFonts w:cs="Arial" w:ascii="Arial" w:hAnsi="Arial"/>
          <w:sz w:val="16"/>
          <w:szCs w:val="16"/>
        </w:rPr>
        <w:t>; персональные данные, указанные в Заявлении и в составе анкетных данных, предоставлены с согласия субъектов персональных данных для осуществления идентификации субъектов персональных данных в соответствии с требованиями Федерального закона от 07.08.2001 № 115-ФЗ «О противодействии легализации (отмыванию) доходов, полученных преступным путем, и финансированию терроризма». Контрагент также подтверждает, что субъекты персональных данных уведомлены об осуществлении обработки их персональных данных, дополнительного письменного разрешения их обладателей не требуется; полученное согласие субъектов персональных данных действует в течение 20 (двадцати) лет и прекращается при наступлении одного из следующих событий: отзыв согласия на обработку персональных данных, достижение цели обработки персональных данных, по истечении срока обработки персональных данных. Контрагент также подтверждает, что не использует услуги Банка при реализации Товара/приеме Пожертвования с использованием сайта в сети Интернет, в случае, если доменное имя этого сайта, указатель страницы этого сайта содержатся в Едином реестре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запрещено; не осуществляет деятельность на территории Российской Федерации без полученной в установленном порядке лицензии, в случае, если законодательство Российской Федерации в отношении такой деятельности предусматривает ее наличие. Контрагент соглашается предоставить документы и/или сведения, необходимые в целях соблюдения действующего законодательства, в том числе актов и требований Банка России, Федеральной службы по финансовому мониторингу, а также обычаев делового оборота; документы и/или сведения подлежат предоставлению в течение 5 (пяти) рабочих дней с момента получения Контрагентом запроса Банка и(или) Платежного агрегатора. При изменении любых сведений, указанных в Заявлении, в том числе сведений, переданных в составе анкетных данных, обновленные сведения будут предоставлены Контрагентом в письменной форме в течение 5 (пяти) рабочих дней с момента изменения, а при изменении сведений об осуществляемых видах деятельности и (или) используемых сайтах и (или) платежных реквизитах сведения будут предоставлены в письменной форме незамедлительно. Контрагент признает юридическую силу документов и(или) сведений в цифровом формате, переданных посредством электронной почты с почтовых электронных адресов/доменов, указанных в Заявлении, или посредством Личного кабинета с использованием Аутентификационных данных, или посредством использования телекоммуникационных каналов связи в системе ЭДО с использованием квалифицированной электронной подписи, в том числе переданных в Банк Платежным агрегатором от имени Контрагента с использованием любых защищенных каналов коммуникации Платежного агрегатора с Банком. При этом, по запросу Банка и(или) Платежного агрегатора Контрагент обязан предоставить оригиналы документов в течение 5 (пяти) рабочих дней. Контрагент понимает и соглашается с тем, что в претензионных случаях при неполучении перевода по Операциям с использованием Платежных карт, получения перевода в меньшем объеме Контрагент обращается к Платежному агрегатору.</w:t>
      </w:r>
      <w:bookmarkEnd w:id="0"/>
    </w:p>
    <w:p>
      <w:pPr>
        <w:pStyle w:val="Normal"/>
        <w:spacing w:lineRule="auto" w:line="276" w:before="0" w:after="0"/>
        <w:ind w:left="142" w:right="261" w:hanging="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spacing w:lineRule="auto" w:line="276" w:before="0" w:after="0"/>
        <w:ind w:left="142" w:right="261" w:hanging="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spacing w:lineRule="auto" w:line="276" w:before="0" w:after="0"/>
        <w:ind w:left="142" w:right="261" w:hanging="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>Контрагент: __________________________/___________________/_________________________________________________________/</w:t>
      </w:r>
    </w:p>
    <w:p>
      <w:pPr>
        <w:pStyle w:val="Normal"/>
        <w:spacing w:lineRule="auto" w:line="276"/>
        <w:ind w:left="142" w:right="260" w:hanging="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                                  </w:t>
      </w:r>
      <w:r>
        <w:rPr>
          <w:rFonts w:cs="Tahoma" w:ascii="Tahoma" w:hAnsi="Tahoma"/>
          <w:sz w:val="16"/>
          <w:szCs w:val="16"/>
        </w:rPr>
        <w:t xml:space="preserve">(должность)                     (подпись) </w:t>
        <w:tab/>
        <w:t xml:space="preserve"> </w:t>
        <w:tab/>
        <w:t xml:space="preserve">    (Ф.И.О. полностью)</w:t>
      </w:r>
    </w:p>
    <w:p>
      <w:pPr>
        <w:pStyle w:val="Normal"/>
        <w:spacing w:lineRule="auto" w:line="276" w:before="0" w:after="0"/>
        <w:ind w:left="142" w:right="261" w:hanging="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М.П.                                                                                                                      </w:t>
      </w:r>
    </w:p>
    <w:p>
      <w:pPr>
        <w:pStyle w:val="Normal"/>
        <w:spacing w:lineRule="auto" w:line="276" w:before="0" w:after="0"/>
        <w:ind w:left="142" w:right="261" w:hanging="0"/>
        <w:jc w:val="right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>Дата: «______» ________________ 20____г.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 w:before="0" w:after="0"/>
        <w:ind w:right="679" w:hanging="0"/>
        <w:jc w:val="both"/>
        <w:rPr>
          <w:rFonts w:ascii="Tahoma" w:hAnsi="Tahoma" w:cs="Tahoma"/>
          <w:caps/>
          <w:sz w:val="16"/>
          <w:szCs w:val="16"/>
        </w:rPr>
      </w:pPr>
      <w:r>
        <w:rPr/>
      </w:r>
      <w:bookmarkStart w:id="1" w:name="_GoBack"/>
      <w:bookmarkStart w:id="2" w:name="_GoBack"/>
      <w:bookmarkEnd w:id="2"/>
    </w:p>
    <w:sectPr>
      <w:footnotePr>
        <w:numFmt w:val="decimal"/>
      </w:footnote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widowControl w:val="false"/>
        <w:ind w:left="0" w:right="112" w:firstLine="567"/>
        <w:rPr>
          <w:rFonts w:ascii="Arial" w:hAnsi="Arial" w:cs="Arial"/>
          <w:sz w:val="14"/>
          <w:szCs w:val="14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cs="Arial" w:ascii="Arial" w:hAnsi="Arial"/>
          <w:sz w:val="14"/>
          <w:szCs w:val="14"/>
        </w:rPr>
        <w:t xml:space="preserve">В случае выбора использования Платформы </w:t>
      </w:r>
      <w:r>
        <w:rPr>
          <w:rFonts w:cs="Arial" w:ascii="Arial" w:hAnsi="Arial"/>
          <w:sz w:val="14"/>
          <w:szCs w:val="14"/>
          <w:lang w:val="en-US"/>
        </w:rPr>
        <w:t>Apple</w:t>
      </w:r>
      <w:r>
        <w:rPr>
          <w:rFonts w:cs="Arial" w:ascii="Arial" w:hAnsi="Arial"/>
          <w:sz w:val="14"/>
          <w:szCs w:val="14"/>
        </w:rPr>
        <w:t xml:space="preserve"> </w:t>
      </w:r>
      <w:r>
        <w:rPr>
          <w:rFonts w:cs="Arial" w:ascii="Arial" w:hAnsi="Arial"/>
          <w:sz w:val="14"/>
          <w:szCs w:val="14"/>
          <w:lang w:val="en-US"/>
        </w:rPr>
        <w:t>Pay</w:t>
      </w:r>
      <w:r>
        <w:rPr>
          <w:rFonts w:cs="Arial" w:ascii="Arial" w:hAnsi="Arial"/>
          <w:sz w:val="14"/>
          <w:szCs w:val="14"/>
        </w:rPr>
        <w:t>, Контрагент принимает условия и присоединяется в полном объеме (а также, если Контрагент является Организацией, обеспечивает наличие согласия и присоединение Предприятий, в интересах которых он действует</w:t>
      </w:r>
      <w:r>
        <w:rPr>
          <w:rFonts w:cs="Arial" w:ascii="Arial" w:hAnsi="Arial"/>
          <w:color w:val="auto"/>
          <w:sz w:val="14"/>
          <w:szCs w:val="14"/>
        </w:rPr>
        <w:t xml:space="preserve">) </w:t>
      </w:r>
      <w:r>
        <w:rPr>
          <w:rFonts w:cs="Arial" w:ascii="Arial" w:hAnsi="Arial"/>
          <w:sz w:val="14"/>
          <w:szCs w:val="14"/>
        </w:rPr>
        <w:t xml:space="preserve">к Условиям для веб-продавцов Apple Pay, размещенным в сети Интернет по адресу: </w:t>
      </w:r>
      <w:hyperlink r:id="rId1">
        <w:r>
          <w:rPr>
            <w:rFonts w:cs="Arial" w:ascii="Arial" w:hAnsi="Arial"/>
            <w:sz w:val="14"/>
            <w:szCs w:val="14"/>
          </w:rPr>
          <w:t>https://developer.apple.com/terms/apple-pay-web/</w:t>
        </w:r>
      </w:hyperlink>
      <w:r>
        <w:rPr>
          <w:rFonts w:cs="Arial" w:ascii="Arial" w:hAnsi="Arial"/>
          <w:sz w:val="14"/>
          <w:szCs w:val="14"/>
        </w:rPr>
        <w:t xml:space="preserve"> (или любой последующий URL).</w:t>
      </w:r>
    </w:p>
    <w:p>
      <w:pPr>
        <w:pStyle w:val="Style26"/>
        <w:widowControl w:val="false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14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4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6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0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2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63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 w:val="false"/>
        <w:shd w:fill="auto" w:val="clear"/>
        <w:szCs w:val="16"/>
        <w:color w:val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2d348a"/>
    <w:rPr>
      <w:rFonts w:ascii="Calibri" w:hAnsi="Calibri" w:eastAsia="Calibri" w:cs="Calibri"/>
      <w:color w:val="000000"/>
      <w:sz w:val="20"/>
      <w:lang w:eastAsia="ru-RU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2d348a"/>
    <w:rPr>
      <w:rFonts w:ascii="Calibri" w:hAnsi="Calibri" w:eastAsia="Calibri" w:cs="Calibri"/>
      <w:color w:val="000000"/>
      <w:sz w:val="20"/>
      <w:szCs w:val="20"/>
      <w:lang w:eastAsia="ru-RU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d348a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Style16">
    <w:name w:val="Hyperlink"/>
    <w:unhideWhenUsed/>
    <w:qFormat/>
    <w:rsid w:val="002d348a"/>
    <w:rPr>
      <w:color w:val="000080"/>
      <w:u w:val="single"/>
      <w:lang w:val="zxx" w:eastAsia="zxx" w:bidi="zxx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Style17">
    <w:name w:val="Символ сноски"/>
    <w:qFormat/>
    <w:rPr/>
  </w:style>
  <w:style w:type="character" w:styleId="Style18">
    <w:name w:val="Footnote Reference"/>
    <w:qFormat/>
    <w:rPr>
      <w:vertAlign w:val="superscript"/>
    </w:rPr>
  </w:style>
  <w:style w:type="character" w:styleId="Style19">
    <w:name w:val="Endnote Reference"/>
    <w:qFormat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Style14"/>
    <w:qFormat/>
    <w:rsid w:val="002d348a"/>
    <w:pPr>
      <w:spacing w:lineRule="auto" w:line="247" w:before="0" w:after="4"/>
      <w:ind w:left="720" w:right="3442" w:firstLine="323"/>
      <w:contextualSpacing/>
    </w:pPr>
    <w:rPr>
      <w:rFonts w:ascii="Calibri" w:hAnsi="Calibri" w:eastAsia="Calibri" w:cs="Calibri"/>
      <w:color w:val="000000"/>
      <w:sz w:val="20"/>
      <w:lang w:eastAsia="ru-RU"/>
    </w:rPr>
  </w:style>
  <w:style w:type="paragraph" w:styleId="Style26">
    <w:name w:val="Footnote Text"/>
    <w:basedOn w:val="Normal"/>
    <w:link w:val="Style15"/>
    <w:uiPriority w:val="99"/>
    <w:semiHidden/>
    <w:unhideWhenUsed/>
    <w:rsid w:val="002d348a"/>
    <w:pPr>
      <w:spacing w:lineRule="auto" w:line="240" w:before="0" w:after="0"/>
      <w:ind w:left="2586" w:right="3442" w:firstLine="323"/>
    </w:pPr>
    <w:rPr>
      <w:rFonts w:ascii="Calibri" w:hAnsi="Calibri" w:eastAsia="Calibri" w:cs="Calibri"/>
      <w:color w:val="000000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d3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iwi.com/offers" TargetMode="External"/><Relationship Id="rId3" Type="http://schemas.openxmlformats.org/officeDocument/2006/relationships/hyperlink" Target="https://qiwi.com/offers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developer.apple.com/terms/apple-pay-web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LibreOffice/7.4.2.3$Windows_X86_64 LibreOffice_project/382eef1f22670f7f4118c8c2dd222ec7ad009daf</Application>
  <AppVersion>15.0000</AppVersion>
  <Pages>5</Pages>
  <Words>1294</Words>
  <Characters>9061</Characters>
  <CharactersWithSpaces>10485</CharactersWithSpaces>
  <Paragraphs>118</Paragraphs>
  <Company>QIWI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2022-07-28T12:29:00Z</dcterms:created>
  <dc:creator>Давыдова Карина Валерьевна</dc:creator>
  <dc:description/>
  <dc:language>ru-RU</dc:language>
  <cp:lastModifiedBy/>
  <dcterms:modified xsi:type="dcterms:W3CDTF">2022-07-29T18:34:15Z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